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E684" w14:textId="21533B04" w:rsidR="006311ED" w:rsidRDefault="006311ED" w:rsidP="006311ED">
      <w:pPr>
        <w:pStyle w:val="Corpodetexto"/>
        <w:spacing w:after="0" w:line="240" w:lineRule="auto"/>
        <w:jc w:val="center"/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LEI Nº </w:t>
      </w:r>
      <w:r w:rsidR="008958BC">
        <w:rPr>
          <w:rFonts w:ascii="Bookman Old Style" w:hAnsi="Bookman Old Style" w:cs="Bookman Old Style"/>
          <w:b/>
          <w:bCs/>
          <w:sz w:val="24"/>
          <w:szCs w:val="24"/>
        </w:rPr>
        <w:t>5.006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, DE </w:t>
      </w:r>
      <w:r w:rsidR="008958BC">
        <w:rPr>
          <w:rFonts w:ascii="Bookman Old Style" w:hAnsi="Bookman Old Style" w:cs="Bookman Old Style"/>
          <w:b/>
          <w:bCs/>
          <w:sz w:val="24"/>
          <w:szCs w:val="24"/>
        </w:rPr>
        <w:t>20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DE DEZEMBRO DE 2024.</w:t>
      </w:r>
    </w:p>
    <w:p w14:paraId="1C9933FE" w14:textId="48BAE2F6" w:rsidR="006311ED" w:rsidRDefault="006311ED" w:rsidP="006311ED">
      <w:pPr>
        <w:pStyle w:val="Corpodetexto"/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4A1C059" w14:textId="77777777" w:rsidR="006311ED" w:rsidRDefault="006311ED" w:rsidP="006311ED">
      <w:pPr>
        <w:pStyle w:val="Corpodetexto"/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1401C24" w14:textId="466EF6A0" w:rsidR="006311ED" w:rsidRDefault="006311ED" w:rsidP="006311ED">
      <w:pPr>
        <w:widowControl w:val="0"/>
        <w:tabs>
          <w:tab w:val="left" w:pos="3390"/>
        </w:tabs>
        <w:autoSpaceDE w:val="0"/>
        <w:jc w:val="both"/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      “Dispõe sobre abertura de crédito adicional suplementar ao orçamento de 2024, no valor de R$ 45.000,00 (quarenta e cinco mil reais), alteração do PPA LDO para os fins que especifica e,  dá outras providencias”.</w:t>
      </w:r>
    </w:p>
    <w:p w14:paraId="33844DEC" w14:textId="7B08DD26" w:rsidR="006311ED" w:rsidRDefault="006311ED" w:rsidP="006311ED">
      <w:pPr>
        <w:widowControl w:val="0"/>
        <w:tabs>
          <w:tab w:val="left" w:pos="28"/>
        </w:tabs>
        <w:autoSpaceDE w:val="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E18E61B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75AE1D17" w14:textId="02DED0B1" w:rsidR="006311ED" w:rsidRDefault="006311ED" w:rsidP="006311ED">
      <w:pPr>
        <w:jc w:val="both"/>
      </w:pPr>
      <w:r>
        <w:rPr>
          <w:rFonts w:ascii="Bookman Old Style" w:hAnsi="Bookman Old Style" w:cs="Bookman Old Style"/>
          <w:b/>
          <w:sz w:val="24"/>
          <w:szCs w:val="24"/>
        </w:rPr>
        <w:tab/>
        <w:t>O PREFEITO MUNICIPAL DE BURITAMA</w:t>
      </w:r>
      <w:r>
        <w:rPr>
          <w:rFonts w:ascii="Bookman Old Style" w:hAnsi="Bookman Old Style" w:cs="Bookman Old Style"/>
          <w:sz w:val="24"/>
          <w:szCs w:val="24"/>
        </w:rPr>
        <w:t xml:space="preserve"> faz saber que a Câmara Municipal aprov</w:t>
      </w:r>
      <w:r w:rsidR="008958BC">
        <w:rPr>
          <w:rFonts w:ascii="Bookman Old Style" w:hAnsi="Bookman Old Style" w:cs="Bookman Old Style"/>
          <w:sz w:val="24"/>
          <w:szCs w:val="24"/>
        </w:rPr>
        <w:t>ou</w:t>
      </w:r>
      <w:r>
        <w:rPr>
          <w:rFonts w:ascii="Bookman Old Style" w:hAnsi="Bookman Old Style" w:cs="Bookman Old Style"/>
          <w:sz w:val="24"/>
          <w:szCs w:val="24"/>
        </w:rPr>
        <w:t xml:space="preserve"> e ele sanciona e promulga a seguinte Lei.</w:t>
      </w:r>
    </w:p>
    <w:p w14:paraId="729EABDE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  <w:rPr>
          <w:rFonts w:ascii="Bookman Old Style" w:hAnsi="Bookman Old Style" w:cs="Bookman Old Style"/>
          <w:sz w:val="24"/>
          <w:szCs w:val="24"/>
        </w:rPr>
      </w:pPr>
    </w:p>
    <w:p w14:paraId="4C34517E" w14:textId="77777777" w:rsidR="006311ED" w:rsidRDefault="006311ED" w:rsidP="006311ED">
      <w:pPr>
        <w:widowControl w:val="0"/>
        <w:autoSpaceDE w:val="0"/>
        <w:jc w:val="both"/>
        <w:rPr>
          <w:rFonts w:ascii="Bookman Old Style" w:hAnsi="Bookman Old Style" w:cs="Bookman Old Style"/>
          <w:sz w:val="24"/>
          <w:szCs w:val="24"/>
        </w:rPr>
      </w:pPr>
    </w:p>
    <w:p w14:paraId="0E2733B5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</w:pP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sz w:val="24"/>
          <w:szCs w:val="24"/>
        </w:rPr>
        <w:t xml:space="preserve">Art. 1º </w:t>
      </w:r>
      <w:r>
        <w:rPr>
          <w:rFonts w:ascii="Bookman Old Style" w:hAnsi="Bookman Old Style" w:cs="Bookman Old Style"/>
          <w:sz w:val="24"/>
          <w:szCs w:val="24"/>
        </w:rPr>
        <w:t>- Fica aberto no orçamento programa do município de Buritama, crédito adicional suplementar,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ao orçamento programa de 2024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nos termos do inciso I do art. 41 da lei federal nº 4.320/64, </w:t>
      </w:r>
      <w:r>
        <w:rPr>
          <w:rFonts w:ascii="Bookman Old Style" w:hAnsi="Bookman Old Style" w:cs="Bookman Old Style"/>
          <w:sz w:val="24"/>
          <w:szCs w:val="24"/>
        </w:rPr>
        <w:t>no valor de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R$ 45.000,00 (quarenta e cinco mil reais)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z w:val="24"/>
          <w:szCs w:val="24"/>
        </w:rPr>
        <w:t>para reforço das seguintes dotações orçamentarias:</w:t>
      </w:r>
    </w:p>
    <w:p w14:paraId="7A6790F5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</w:pPr>
      <w:r>
        <w:rPr>
          <w:sz w:val="24"/>
          <w:szCs w:val="24"/>
        </w:rPr>
        <w:tab/>
      </w:r>
    </w:p>
    <w:p w14:paraId="5EC0247C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"/>
        </w:tabs>
        <w:autoSpaceDE w:val="0"/>
        <w:jc w:val="both"/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02 - PODER EXECUTIVO</w:t>
      </w:r>
    </w:p>
    <w:p w14:paraId="3C38864F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</w:pPr>
      <w:r>
        <w:rPr>
          <w:b/>
          <w:bCs/>
          <w:sz w:val="24"/>
          <w:szCs w:val="24"/>
        </w:rPr>
        <w:t>02.02 – Departamento Municipal de Finanças, Contabilidade e Tributos</w:t>
      </w:r>
    </w:p>
    <w:p w14:paraId="5F8557CB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</w:pPr>
      <w:r>
        <w:rPr>
          <w:sz w:val="24"/>
          <w:szCs w:val="24"/>
        </w:rPr>
        <w:t>4690.71.03.01 – 28.843.0007-0.001 – Amort. Div. IPREM – lntraorçamentária  R$    45.000,00</w:t>
      </w:r>
    </w:p>
    <w:p w14:paraId="1985F172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b/>
          <w:bCs/>
          <w:sz w:val="24"/>
          <w:szCs w:val="24"/>
        </w:rPr>
      </w:pPr>
    </w:p>
    <w:p w14:paraId="428C6F11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</w:pPr>
    </w:p>
    <w:p w14:paraId="1BEC1F30" w14:textId="77777777" w:rsidR="002A732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 DAS SUPLEMENTAÇÕES... .............................................                R$    45.000,00</w:t>
      </w:r>
    </w:p>
    <w:p w14:paraId="76F44C26" w14:textId="520B709D" w:rsidR="006311ED" w:rsidRPr="002A732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</w:pPr>
      <w:r>
        <w:rPr>
          <w:b/>
          <w:bCs/>
          <w:sz w:val="24"/>
          <w:szCs w:val="24"/>
        </w:rPr>
        <w:t xml:space="preserve"> </w:t>
      </w:r>
    </w:p>
    <w:p w14:paraId="151A4D30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  <w:rPr>
          <w:b/>
          <w:bCs/>
          <w:sz w:val="24"/>
          <w:szCs w:val="24"/>
        </w:rPr>
      </w:pPr>
    </w:p>
    <w:p w14:paraId="2D0FD5D3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Bookman Old Style" w:hAnsi="Bookman Old Style" w:cs="Bookman Old Style"/>
          <w:b/>
          <w:sz w:val="24"/>
          <w:szCs w:val="24"/>
        </w:rPr>
        <w:t xml:space="preserve">Art. 2º </w:t>
      </w:r>
      <w:r>
        <w:rPr>
          <w:rFonts w:ascii="Bookman Old Style" w:hAnsi="Bookman Old Style" w:cs="Bookman Old Style"/>
          <w:sz w:val="24"/>
          <w:szCs w:val="24"/>
        </w:rPr>
        <w:t xml:space="preserve">- Para cobertura do credito aberto pelo artigo anterior, serão utilizados recursos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provenientes de </w:t>
      </w:r>
      <w:r>
        <w:rPr>
          <w:rFonts w:ascii="Bookman Old Style" w:hAnsi="Bookman Old Style" w:cs="Bookman Old Style"/>
          <w:b/>
          <w:bCs/>
          <w:sz w:val="24"/>
          <w:szCs w:val="24"/>
        </w:rPr>
        <w:t>ANULAÇÃO PARCIAL DE DOTAÇÕES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no valor de </w:t>
      </w:r>
      <w:r>
        <w:rPr>
          <w:rFonts w:ascii="Bookman Old Style" w:hAnsi="Bookman Old Style" w:cs="Bookman Old Style"/>
          <w:b/>
          <w:bCs/>
          <w:sz w:val="24"/>
          <w:szCs w:val="24"/>
        </w:rPr>
        <w:t>R$ 45.000,00 (quarenta e cinco mil reais)</w:t>
      </w:r>
      <w:r>
        <w:rPr>
          <w:rFonts w:ascii="Bookman Old Style" w:hAnsi="Bookman Old Style" w:cs="Bookman Old Style"/>
          <w:bCs/>
          <w:sz w:val="24"/>
          <w:szCs w:val="24"/>
        </w:rPr>
        <w:t>, conforme disposto no</w:t>
      </w:r>
      <w:r>
        <w:rPr>
          <w:rFonts w:ascii="Bookman Old Style" w:hAnsi="Bookman Old Style" w:cs="Bookman Old Style"/>
          <w:sz w:val="24"/>
          <w:szCs w:val="24"/>
        </w:rPr>
        <w:t xml:space="preserve"> inciso II do § 1º, c.c. § 3º do art. 43, da Lei Federal nº 4.320/64 da seguinte conta de receita orçamentária:</w:t>
      </w:r>
    </w:p>
    <w:p w14:paraId="538AB9A5" w14:textId="77777777" w:rsidR="006311ED" w:rsidRDefault="006311ED" w:rsidP="006311ED">
      <w:pPr>
        <w:widowControl w:val="0"/>
        <w:tabs>
          <w:tab w:val="left" w:pos="28"/>
        </w:tabs>
        <w:autoSpaceDE w:val="0"/>
        <w:jc w:val="both"/>
        <w:rPr>
          <w:rFonts w:ascii="Bookman Old Style" w:hAnsi="Bookman Old Style" w:cs="Bookman Old Style"/>
          <w:sz w:val="24"/>
          <w:szCs w:val="24"/>
        </w:rPr>
      </w:pPr>
    </w:p>
    <w:p w14:paraId="18878B46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"/>
        </w:tabs>
        <w:autoSpaceDE w:val="0"/>
        <w:jc w:val="both"/>
      </w:pPr>
      <w:r>
        <w:rPr>
          <w:b/>
          <w:bCs/>
          <w:sz w:val="24"/>
          <w:szCs w:val="24"/>
        </w:rPr>
        <w:t>02 - PODER EXECUTIVO</w:t>
      </w:r>
    </w:p>
    <w:p w14:paraId="6FEC04BD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</w:pPr>
      <w:r>
        <w:rPr>
          <w:b/>
          <w:bCs/>
          <w:sz w:val="24"/>
          <w:szCs w:val="24"/>
        </w:rPr>
        <w:t>02.02 – Departamento Municipal de Finanças, Contabilidade e Tributos</w:t>
      </w:r>
    </w:p>
    <w:p w14:paraId="4C7EC36A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left" w:pos="7410"/>
          <w:tab w:val="left" w:pos="7710"/>
        </w:tabs>
        <w:autoSpaceDE w:val="0"/>
        <w:jc w:val="both"/>
      </w:pPr>
      <w:r>
        <w:rPr>
          <w:sz w:val="24"/>
          <w:szCs w:val="24"/>
        </w:rPr>
        <w:t>9.9.99.99.99 –  99.999.9999-9.999 – Reserva de Contingência                         R$       45.000,00</w:t>
      </w:r>
    </w:p>
    <w:p w14:paraId="361BA3FB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left" w:pos="7410"/>
          <w:tab w:val="left" w:pos="7710"/>
        </w:tabs>
        <w:autoSpaceDE w:val="0"/>
        <w:jc w:val="both"/>
        <w:rPr>
          <w:b/>
          <w:bCs/>
          <w:sz w:val="24"/>
          <w:szCs w:val="24"/>
        </w:rPr>
      </w:pPr>
    </w:p>
    <w:p w14:paraId="5D6EB24B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</w:pPr>
      <w:r>
        <w:rPr>
          <w:b/>
          <w:sz w:val="24"/>
          <w:szCs w:val="24"/>
        </w:rPr>
        <w:t>TOTAL DAS ANULAÇÕES ……….... .............................................          R$        45.000,00</w:t>
      </w:r>
    </w:p>
    <w:p w14:paraId="7ABAC67A" w14:textId="77777777" w:rsidR="006311ED" w:rsidRDefault="006311ED" w:rsidP="006311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b/>
          <w:sz w:val="24"/>
          <w:szCs w:val="24"/>
        </w:rPr>
      </w:pPr>
    </w:p>
    <w:p w14:paraId="3D4A7F5F" w14:textId="77777777" w:rsidR="006311ED" w:rsidRDefault="006311ED" w:rsidP="006311ED">
      <w:pPr>
        <w:jc w:val="both"/>
        <w:rPr>
          <w:rFonts w:ascii="Bookman Old Style" w:eastAsia="Calibri" w:hAnsi="Bookman Old Style" w:cs="Bookman Old Style"/>
          <w:b/>
          <w:sz w:val="24"/>
          <w:szCs w:val="24"/>
          <w:lang w:eastAsia="en-US"/>
        </w:rPr>
      </w:pPr>
    </w:p>
    <w:p w14:paraId="6E053201" w14:textId="4C753A58" w:rsidR="006311ED" w:rsidRPr="002A732D" w:rsidRDefault="002A732D" w:rsidP="006311ED">
      <w:pPr>
        <w:jc w:val="both"/>
        <w:rPr>
          <w:sz w:val="24"/>
          <w:szCs w:val="24"/>
        </w:rPr>
      </w:pPr>
      <w:r>
        <w:rPr>
          <w:rFonts w:ascii="Bookman Old Style" w:eastAsia="Calibri" w:hAnsi="Bookman Old Style" w:cs="Bookman Old Style"/>
          <w:b/>
          <w:sz w:val="24"/>
          <w:szCs w:val="24"/>
          <w:lang w:eastAsia="en-US"/>
        </w:rPr>
        <w:tab/>
      </w:r>
      <w:r w:rsidR="006311ED" w:rsidRPr="002A732D">
        <w:rPr>
          <w:rFonts w:ascii="Bookman Old Style" w:eastAsia="Calibri" w:hAnsi="Bookman Old Style" w:cs="Bookman Old Style"/>
          <w:b/>
          <w:sz w:val="24"/>
          <w:szCs w:val="24"/>
          <w:lang w:eastAsia="en-US"/>
        </w:rPr>
        <w:t xml:space="preserve">Art. 3º - </w:t>
      </w:r>
      <w:r w:rsidR="006311ED" w:rsidRPr="002A732D">
        <w:rPr>
          <w:rFonts w:ascii="Bookman Old Style" w:eastAsia="Calibri" w:hAnsi="Bookman Old Style" w:cs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reforço de dotações de programas já constantes do orçamento corrente.</w:t>
      </w:r>
    </w:p>
    <w:p w14:paraId="585C500A" w14:textId="77777777" w:rsidR="006311ED" w:rsidRPr="002A732D" w:rsidRDefault="006311ED" w:rsidP="006311ED">
      <w:pPr>
        <w:jc w:val="both"/>
        <w:rPr>
          <w:rFonts w:ascii="Bookman Old Style" w:eastAsia="Calibri" w:hAnsi="Bookman Old Style" w:cs="Bookman Old Style"/>
          <w:b/>
          <w:sz w:val="24"/>
          <w:szCs w:val="24"/>
          <w:lang w:eastAsia="en-US"/>
        </w:rPr>
      </w:pPr>
    </w:p>
    <w:p w14:paraId="68777D40" w14:textId="484C2DDE" w:rsidR="006311ED" w:rsidRPr="002A732D" w:rsidRDefault="002A732D" w:rsidP="006311ED">
      <w:pPr>
        <w:jc w:val="both"/>
        <w:rPr>
          <w:sz w:val="24"/>
          <w:szCs w:val="24"/>
        </w:rPr>
      </w:pPr>
      <w:r w:rsidRPr="002A732D">
        <w:rPr>
          <w:rFonts w:ascii="Bookman Old Style" w:eastAsia="Calibri" w:hAnsi="Bookman Old Style" w:cs="Bookman Old Style"/>
          <w:b/>
          <w:sz w:val="24"/>
          <w:szCs w:val="24"/>
          <w:lang w:eastAsia="en-US"/>
        </w:rPr>
        <w:tab/>
      </w:r>
      <w:r w:rsidR="006311ED" w:rsidRPr="002A732D">
        <w:rPr>
          <w:rFonts w:ascii="Bookman Old Style" w:eastAsia="Calibri" w:hAnsi="Bookman Old Style" w:cs="Bookman Old Style"/>
          <w:b/>
          <w:sz w:val="24"/>
          <w:szCs w:val="24"/>
          <w:lang w:eastAsia="en-US"/>
        </w:rPr>
        <w:t>Art. 4º</w:t>
      </w:r>
      <w:r w:rsidR="006311ED" w:rsidRPr="002A732D">
        <w:rPr>
          <w:rFonts w:ascii="Bookman Old Style" w:eastAsia="Calibri" w:hAnsi="Bookman Old Style" w:cs="Bookman Old Style"/>
          <w:bCs/>
          <w:sz w:val="24"/>
          <w:szCs w:val="24"/>
          <w:lang w:eastAsia="en-US"/>
        </w:rPr>
        <w:t xml:space="preserve"> - Ficam incluídos e alterados os anexos do PPA e LDO o programa de trabalho de que se trata esta lei.</w:t>
      </w:r>
    </w:p>
    <w:p w14:paraId="4B0CF67D" w14:textId="77777777" w:rsidR="006311ED" w:rsidRPr="002A732D" w:rsidRDefault="006311ED" w:rsidP="006311ED">
      <w:pPr>
        <w:jc w:val="both"/>
        <w:rPr>
          <w:rFonts w:ascii="Bookman Old Style" w:eastAsia="Calibri" w:hAnsi="Bookman Old Style" w:cs="Bookman Old Style"/>
          <w:bCs/>
          <w:sz w:val="24"/>
          <w:szCs w:val="24"/>
          <w:lang w:eastAsia="en-US"/>
        </w:rPr>
      </w:pPr>
    </w:p>
    <w:p w14:paraId="4B58E503" w14:textId="77777777" w:rsidR="006311ED" w:rsidRPr="002A732D" w:rsidRDefault="006311ED" w:rsidP="006311ED">
      <w:pPr>
        <w:jc w:val="both"/>
        <w:rPr>
          <w:sz w:val="24"/>
          <w:szCs w:val="24"/>
        </w:rPr>
      </w:pPr>
      <w:r w:rsidRPr="002A732D">
        <w:rPr>
          <w:rFonts w:ascii="Bookman Old Style" w:hAnsi="Bookman Old Style" w:cs="Bookman Old Style"/>
          <w:b/>
          <w:sz w:val="24"/>
          <w:szCs w:val="24"/>
        </w:rPr>
        <w:tab/>
        <w:t>Art. 5º</w:t>
      </w:r>
      <w:r w:rsidRPr="002A732D">
        <w:rPr>
          <w:rFonts w:ascii="Bookman Old Style" w:hAnsi="Bookman Old Style" w:cs="Bookman Old Style"/>
          <w:sz w:val="24"/>
          <w:szCs w:val="24"/>
        </w:rPr>
        <w:t xml:space="preserve"> - Esta Lei entra em vigor na data de sua publicação.</w:t>
      </w:r>
    </w:p>
    <w:p w14:paraId="2C56887F" w14:textId="77777777" w:rsidR="006311ED" w:rsidRPr="002A732D" w:rsidRDefault="006311ED" w:rsidP="006311ED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64D8E50D" w14:textId="77777777" w:rsidR="002A732D" w:rsidRPr="002A732D" w:rsidRDefault="002A732D" w:rsidP="006311ED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0EBF32E7" w14:textId="6FD7FF82" w:rsidR="006311ED" w:rsidRPr="002A732D" w:rsidRDefault="002A732D" w:rsidP="006311ED">
      <w:pPr>
        <w:jc w:val="both"/>
        <w:rPr>
          <w:sz w:val="24"/>
          <w:szCs w:val="24"/>
        </w:rPr>
      </w:pPr>
      <w:r w:rsidRPr="002A732D">
        <w:rPr>
          <w:rFonts w:ascii="Bookman Old Style" w:hAnsi="Bookman Old Style" w:cs="Bookman Old Style"/>
          <w:b/>
          <w:sz w:val="24"/>
          <w:szCs w:val="24"/>
        </w:rPr>
        <w:tab/>
      </w:r>
      <w:r w:rsidR="006311ED" w:rsidRPr="002A732D">
        <w:rPr>
          <w:rFonts w:ascii="Bookman Old Style" w:hAnsi="Bookman Old Style" w:cs="Bookman Old Style"/>
          <w:b/>
          <w:sz w:val="24"/>
          <w:szCs w:val="24"/>
        </w:rPr>
        <w:t>Art. 6º</w:t>
      </w:r>
      <w:r w:rsidR="006311ED" w:rsidRPr="002A732D">
        <w:rPr>
          <w:rFonts w:ascii="Bookman Old Style" w:hAnsi="Bookman Old Style" w:cs="Bookman Old Style"/>
          <w:sz w:val="24"/>
          <w:szCs w:val="24"/>
        </w:rPr>
        <w:t xml:space="preserve"> - Revogam-se as disposições em contrário.</w:t>
      </w:r>
    </w:p>
    <w:p w14:paraId="58107553" w14:textId="77777777" w:rsidR="006311ED" w:rsidRPr="008958BC" w:rsidRDefault="006311ED" w:rsidP="008958B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4AF27F08" w14:textId="72975CC3" w:rsidR="006311ED" w:rsidRPr="008958BC" w:rsidRDefault="002A732D" w:rsidP="008958BC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8958BC">
        <w:rPr>
          <w:rFonts w:ascii="Bookman Old Style" w:hAnsi="Bookman Old Style" w:cs="Bookman Old Style"/>
          <w:b/>
          <w:sz w:val="24"/>
          <w:szCs w:val="24"/>
        </w:rPr>
        <w:tab/>
      </w:r>
      <w:r w:rsidR="006311ED" w:rsidRPr="008958BC">
        <w:rPr>
          <w:rFonts w:ascii="Bookman Old Style" w:hAnsi="Bookman Old Style" w:cs="Bookman Old Style"/>
          <w:b/>
          <w:sz w:val="24"/>
          <w:szCs w:val="24"/>
        </w:rPr>
        <w:t xml:space="preserve">Buritama, </w:t>
      </w:r>
      <w:r w:rsidR="008958BC" w:rsidRPr="008958BC">
        <w:rPr>
          <w:rFonts w:ascii="Bookman Old Style" w:hAnsi="Bookman Old Style" w:cs="Bookman Old Style"/>
          <w:b/>
          <w:sz w:val="24"/>
          <w:szCs w:val="24"/>
        </w:rPr>
        <w:t>20</w:t>
      </w:r>
      <w:r w:rsidR="006311ED" w:rsidRPr="008958BC">
        <w:rPr>
          <w:rFonts w:ascii="Bookman Old Style" w:hAnsi="Bookman Old Style" w:cs="Bookman Old Style"/>
          <w:b/>
          <w:sz w:val="24"/>
          <w:szCs w:val="24"/>
        </w:rPr>
        <w:t xml:space="preserve"> de dezembro de 2024; 107 anos de Fundação e 76 anos de Emancipação Política.</w:t>
      </w:r>
    </w:p>
    <w:p w14:paraId="1A873217" w14:textId="77777777" w:rsidR="006311ED" w:rsidRPr="008958BC" w:rsidRDefault="006311ED" w:rsidP="008958BC">
      <w:pPr>
        <w:pStyle w:val="Recuodecorpodetexto"/>
        <w:spacing w:after="0"/>
        <w:ind w:left="0"/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4F995899" w14:textId="77777777" w:rsidR="006311ED" w:rsidRPr="008958BC" w:rsidRDefault="006311ED" w:rsidP="008958BC">
      <w:pPr>
        <w:pStyle w:val="Recuodecorpodetexto"/>
        <w:spacing w:after="0"/>
        <w:ind w:left="0"/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74F9DA7B" w14:textId="77777777" w:rsidR="006311ED" w:rsidRPr="008958BC" w:rsidRDefault="006311ED" w:rsidP="008958BC">
      <w:pPr>
        <w:widowControl w:val="0"/>
        <w:tabs>
          <w:tab w:val="left" w:pos="2955"/>
          <w:tab w:val="center" w:pos="4592"/>
        </w:tabs>
        <w:jc w:val="both"/>
        <w:rPr>
          <w:sz w:val="24"/>
          <w:szCs w:val="24"/>
        </w:rPr>
      </w:pPr>
      <w:r w:rsidRPr="008958BC">
        <w:rPr>
          <w:rFonts w:ascii="Bookman Old Style" w:hAnsi="Bookman Old Style" w:cs="Bookman Old Style"/>
          <w:sz w:val="24"/>
          <w:szCs w:val="24"/>
        </w:rPr>
        <w:tab/>
      </w:r>
      <w:r w:rsidRPr="008958BC">
        <w:rPr>
          <w:rFonts w:ascii="Bookman Old Style" w:hAnsi="Bookman Old Style" w:cs="Bookman Old Style"/>
          <w:sz w:val="24"/>
          <w:szCs w:val="24"/>
        </w:rPr>
        <w:tab/>
      </w:r>
      <w:r w:rsidRPr="008958BC">
        <w:rPr>
          <w:rFonts w:ascii="Bookman Old Style" w:hAnsi="Bookman Old Style" w:cs="Bookman Old Style"/>
          <w:b/>
          <w:sz w:val="24"/>
          <w:szCs w:val="24"/>
        </w:rPr>
        <w:t>RODRIGO ZACARIAS DOS SANTOS</w:t>
      </w:r>
    </w:p>
    <w:p w14:paraId="303F9CC4" w14:textId="77777777" w:rsidR="006311ED" w:rsidRPr="008958BC" w:rsidRDefault="006311ED" w:rsidP="008958BC">
      <w:pPr>
        <w:jc w:val="center"/>
        <w:rPr>
          <w:sz w:val="24"/>
          <w:szCs w:val="24"/>
        </w:rPr>
      </w:pPr>
      <w:r w:rsidRPr="008958BC">
        <w:rPr>
          <w:rFonts w:ascii="Bookman Old Style" w:hAnsi="Bookman Old Style" w:cs="Bookman Old Style"/>
          <w:sz w:val="24"/>
          <w:szCs w:val="24"/>
        </w:rPr>
        <w:t>Prefeito Municipal</w:t>
      </w:r>
    </w:p>
    <w:p w14:paraId="136DDD41" w14:textId="77777777" w:rsidR="006311ED" w:rsidRPr="008958BC" w:rsidRDefault="006311ED" w:rsidP="008958BC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F7A6245" w14:textId="77777777" w:rsidR="008958BC" w:rsidRPr="008958BC" w:rsidRDefault="008958BC" w:rsidP="008958BC">
      <w:pPr>
        <w:jc w:val="center"/>
        <w:rPr>
          <w:rFonts w:ascii="Bookman Old Style" w:hAnsi="Bookman Old Style"/>
          <w:sz w:val="24"/>
          <w:szCs w:val="24"/>
        </w:rPr>
      </w:pPr>
    </w:p>
    <w:p w14:paraId="1518FA90" w14:textId="77777777" w:rsidR="008958BC" w:rsidRPr="008958BC" w:rsidRDefault="008958BC" w:rsidP="008958B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8958BC">
        <w:rPr>
          <w:rFonts w:ascii="Bookman Old Style" w:hAnsi="Bookman Old Style"/>
          <w:b/>
          <w:sz w:val="24"/>
          <w:szCs w:val="24"/>
        </w:rPr>
        <w:t>LUIZ ANTONIO VASQUES JUNIOR</w:t>
      </w:r>
    </w:p>
    <w:p w14:paraId="7A5125C6" w14:textId="77777777" w:rsidR="008958BC" w:rsidRPr="008958BC" w:rsidRDefault="008958BC" w:rsidP="008958B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eastAsia="pt-BR"/>
        </w:rPr>
      </w:pPr>
      <w:r w:rsidRPr="008958BC">
        <w:rPr>
          <w:rFonts w:ascii="Bookman Old Style" w:hAnsi="Bookman Old Style"/>
          <w:sz w:val="24"/>
          <w:szCs w:val="24"/>
        </w:rPr>
        <w:t>Procurador Jurídico</w:t>
      </w:r>
    </w:p>
    <w:p w14:paraId="1623175E" w14:textId="3E2FDAF5" w:rsidR="008958BC" w:rsidRDefault="008958BC" w:rsidP="008958B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4CEFCD08" w14:textId="77777777" w:rsidR="008958BC" w:rsidRPr="008958BC" w:rsidRDefault="008958BC" w:rsidP="008958B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5B441D21" w14:textId="77777777" w:rsidR="008958BC" w:rsidRPr="008958BC" w:rsidRDefault="008958BC" w:rsidP="008958B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8958BC">
        <w:rPr>
          <w:rFonts w:ascii="Bookman Old Style" w:hAnsi="Bookman Old Style"/>
          <w:b/>
          <w:sz w:val="24"/>
          <w:szCs w:val="24"/>
        </w:rPr>
        <w:t>ILSON JOSÉ GARCIA</w:t>
      </w:r>
    </w:p>
    <w:p w14:paraId="5F1E6CBA" w14:textId="77777777" w:rsidR="008958BC" w:rsidRPr="008958BC" w:rsidRDefault="008958BC" w:rsidP="008958B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eastAsia="pt-BR"/>
        </w:rPr>
      </w:pPr>
      <w:r w:rsidRPr="008958BC">
        <w:rPr>
          <w:rFonts w:ascii="Bookman Old Style" w:hAnsi="Bookman Old Style"/>
          <w:sz w:val="24"/>
          <w:szCs w:val="24"/>
        </w:rPr>
        <w:t>Diretor do Departamento de Orçamento, Finanças e Contabilidade</w:t>
      </w:r>
    </w:p>
    <w:p w14:paraId="2D3E116F" w14:textId="77777777" w:rsidR="008958BC" w:rsidRPr="008958BC" w:rsidRDefault="008958BC" w:rsidP="008958BC">
      <w:pPr>
        <w:jc w:val="center"/>
        <w:rPr>
          <w:rFonts w:ascii="Bookman Old Style" w:hAnsi="Bookman Old Style"/>
          <w:sz w:val="24"/>
          <w:szCs w:val="24"/>
        </w:rPr>
      </w:pPr>
    </w:p>
    <w:p w14:paraId="412F9E73" w14:textId="77777777" w:rsidR="008958BC" w:rsidRPr="008958BC" w:rsidRDefault="008958BC" w:rsidP="008958BC">
      <w:pPr>
        <w:jc w:val="center"/>
        <w:rPr>
          <w:rFonts w:ascii="Bookman Old Style" w:hAnsi="Bookman Old Style"/>
          <w:bCs/>
          <w:sz w:val="24"/>
          <w:szCs w:val="24"/>
        </w:rPr>
      </w:pPr>
      <w:r w:rsidRPr="008958BC">
        <w:rPr>
          <w:rFonts w:ascii="Bookman Old Style" w:hAnsi="Bookman Old Style"/>
          <w:sz w:val="24"/>
          <w:szCs w:val="24"/>
        </w:rPr>
        <w:t>P</w:t>
      </w:r>
      <w:r w:rsidRPr="008958BC">
        <w:rPr>
          <w:rFonts w:ascii="Bookman Old Style" w:hAnsi="Bookman Old Style"/>
          <w:bCs/>
          <w:sz w:val="24"/>
          <w:szCs w:val="24"/>
        </w:rPr>
        <w:t>ublicado e arquivado pela Secretaria do Governo do Município, nesta data.</w:t>
      </w:r>
    </w:p>
    <w:p w14:paraId="5ADE746C" w14:textId="2699988E" w:rsidR="008958BC" w:rsidRDefault="008958BC" w:rsidP="008958BC">
      <w:pPr>
        <w:jc w:val="center"/>
        <w:rPr>
          <w:rFonts w:ascii="Bookman Old Style" w:hAnsi="Bookman Old Style"/>
          <w:sz w:val="24"/>
          <w:szCs w:val="24"/>
        </w:rPr>
      </w:pPr>
    </w:p>
    <w:p w14:paraId="6D7E4198" w14:textId="77777777" w:rsidR="008958BC" w:rsidRPr="008958BC" w:rsidRDefault="008958BC" w:rsidP="008958BC">
      <w:pPr>
        <w:jc w:val="center"/>
        <w:rPr>
          <w:rFonts w:ascii="Bookman Old Style" w:hAnsi="Bookman Old Style"/>
          <w:sz w:val="24"/>
          <w:szCs w:val="24"/>
        </w:rPr>
      </w:pPr>
    </w:p>
    <w:p w14:paraId="23253A7D" w14:textId="77777777" w:rsidR="008958BC" w:rsidRPr="008958BC" w:rsidRDefault="008958BC" w:rsidP="008958BC">
      <w:pPr>
        <w:jc w:val="center"/>
        <w:rPr>
          <w:rFonts w:ascii="Bookman Old Style" w:hAnsi="Bookman Old Style"/>
          <w:b/>
          <w:sz w:val="24"/>
          <w:szCs w:val="24"/>
        </w:rPr>
      </w:pPr>
      <w:r w:rsidRPr="008958BC">
        <w:rPr>
          <w:rFonts w:ascii="Bookman Old Style" w:hAnsi="Bookman Old Style"/>
          <w:b/>
          <w:sz w:val="24"/>
          <w:szCs w:val="24"/>
        </w:rPr>
        <w:t xml:space="preserve">MARIA CRISTINA NOBRE SANTOS </w:t>
      </w:r>
    </w:p>
    <w:p w14:paraId="66418C6C" w14:textId="77777777" w:rsidR="008958BC" w:rsidRPr="008958BC" w:rsidRDefault="008958BC" w:rsidP="008958BC">
      <w:pPr>
        <w:jc w:val="center"/>
        <w:rPr>
          <w:rFonts w:ascii="Bookman Old Style" w:hAnsi="Bookman Old Style"/>
          <w:sz w:val="24"/>
          <w:szCs w:val="24"/>
        </w:rPr>
      </w:pPr>
      <w:r w:rsidRPr="008958BC">
        <w:rPr>
          <w:rFonts w:ascii="Bookman Old Style" w:hAnsi="Bookman Old Style"/>
          <w:sz w:val="24"/>
          <w:szCs w:val="24"/>
        </w:rPr>
        <w:t>Encarregada de Secretaria</w:t>
      </w:r>
    </w:p>
    <w:sectPr w:rsidR="008958BC" w:rsidRPr="008958BC">
      <w:headerReference w:type="default" r:id="rId6"/>
      <w:footerReference w:type="default" r:id="rId7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9DCE" w14:textId="77777777" w:rsidR="00155038" w:rsidRDefault="00155038">
      <w:r>
        <w:separator/>
      </w:r>
    </w:p>
  </w:endnote>
  <w:endnote w:type="continuationSeparator" w:id="0">
    <w:p w14:paraId="35F69D38" w14:textId="77777777" w:rsidR="00155038" w:rsidRDefault="0015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6C47D8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>Avenida Frei Marcelo Manília, 700 - Fone / Fax (18) 3691-9200 - CEP 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6C47D8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F935" w14:textId="77777777" w:rsidR="00155038" w:rsidRDefault="00155038">
      <w:r>
        <w:separator/>
      </w:r>
    </w:p>
  </w:footnote>
  <w:footnote w:type="continuationSeparator" w:id="0">
    <w:p w14:paraId="5E1C3D88" w14:textId="77777777" w:rsidR="00155038" w:rsidRDefault="0015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6C47D8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6C47D8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6C47D8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proofErr w:type="spellStart"/>
    <w:r>
      <w:rPr>
        <w:rFonts w:ascii="Verdana" w:eastAsia="Verdana" w:hAnsi="Verdana" w:cs="Verdana"/>
        <w:b/>
        <w:color w:val="000080"/>
        <w:sz w:val="34"/>
        <w:szCs w:val="34"/>
      </w:rPr>
      <w:t>Nésio</w:t>
    </w:r>
    <w:proofErr w:type="spellEnd"/>
    <w:r>
      <w:rPr>
        <w:rFonts w:ascii="Verdana" w:eastAsia="Verdana" w:hAnsi="Verdana" w:cs="Verdana"/>
        <w:b/>
        <w:color w:val="000080"/>
        <w:sz w:val="34"/>
        <w:szCs w:val="34"/>
      </w:rPr>
      <w:t xml:space="preserve">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6C47D8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B529E"/>
    <w:rsid w:val="00106952"/>
    <w:rsid w:val="00154CE4"/>
    <w:rsid w:val="00155038"/>
    <w:rsid w:val="001C61C5"/>
    <w:rsid w:val="00207A21"/>
    <w:rsid w:val="00281FDE"/>
    <w:rsid w:val="002A732D"/>
    <w:rsid w:val="00315131"/>
    <w:rsid w:val="003A370B"/>
    <w:rsid w:val="005128AE"/>
    <w:rsid w:val="00514EA4"/>
    <w:rsid w:val="006311ED"/>
    <w:rsid w:val="006C47D8"/>
    <w:rsid w:val="006D2162"/>
    <w:rsid w:val="007764FD"/>
    <w:rsid w:val="00780357"/>
    <w:rsid w:val="00825696"/>
    <w:rsid w:val="008958BC"/>
    <w:rsid w:val="008A726E"/>
    <w:rsid w:val="00901374"/>
    <w:rsid w:val="00913FFC"/>
    <w:rsid w:val="009915FA"/>
    <w:rsid w:val="009A53E9"/>
    <w:rsid w:val="00A9525D"/>
    <w:rsid w:val="00B23621"/>
    <w:rsid w:val="00BA49C6"/>
    <w:rsid w:val="00C23A3A"/>
    <w:rsid w:val="00C55D27"/>
    <w:rsid w:val="00E23CFF"/>
    <w:rsid w:val="00F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11ED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11ED"/>
    <w:rPr>
      <w:rFonts w:cs="Mangal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958BC"/>
    <w:pPr>
      <w:spacing w:after="120" w:line="480" w:lineRule="auto"/>
      <w:ind w:left="283"/>
    </w:pPr>
    <w:rPr>
      <w:rFonts w:cs="Mangal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958BC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2024-12-18T18:04:00Z</cp:lastPrinted>
  <dcterms:created xsi:type="dcterms:W3CDTF">2024-12-27T12:26:00Z</dcterms:created>
  <dcterms:modified xsi:type="dcterms:W3CDTF">2024-12-27T12:26:00Z</dcterms:modified>
  <dc:language>pt-BR</dc:language>
</cp:coreProperties>
</file>